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t xml:space="preserve"/>
      </w:r>
    </w:p>
    <w:p>
      <w:pPr>
        <w:spacing w:after="80" w:before="0"/>
        <w:jc w:val="left"/>
      </w:pPr>
      <w:r>
        <w:rPr>
          <w:rFonts w:ascii="Barlow Condensed" w:cs="Barlow Condensed" w:eastAsia="Barlow Condensed" w:hAnsi="Barlow Condensed"/>
          <w:b/>
          <w:bCs/>
          <w:i w:val="false"/>
          <w:iCs w:val="false"/>
          <w:caps w:val="false"/>
          <w:color w:val="111214"/>
          <w:sz w:val="48"/>
          <w:szCs w:val="48"/>
        </w:rPr>
        <w:t xml:space="preserve">CYBER RISK DELTA REPORT</w:t>
      </w:r>
    </w:p>
    <w:p>
      <w:pPr>
        <w:spacing w:after="200" w:before="0"/>
        <w:jc w:val="left"/>
      </w:pPr>
      <w:r>
        <w:rPr>
          <w:rFonts w:ascii="Barlow Condensed" w:cs="Barlow Condensed" w:eastAsia="Barlow Condensed" w:hAnsi="Barlow Condensed"/>
          <w:b w:val="false"/>
          <w:bCs w:val="false"/>
          <w:i w:val="false"/>
          <w:iCs w:val="false"/>
          <w:caps w:val="false"/>
          <w:color w:val="116b4f"/>
          <w:sz w:val="22"/>
          <w:szCs w:val="22"/>
        </w:rPr>
        <w:t xml:space="preserve">Engagement Close-Out  ·  S.I.N.S. Framework™ Risk Quantification</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2200"/>
        <w:gridCol w:w="4786"/>
        <w:gridCol w:w="2400"/>
      </w:tblGrid>
      <w:tr>
        <w:tc>
          <w:tcPr>
            <w:tcW w:type="dxa" w:w="2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CLIENT ORGANISATION</w:t>
            </w:r>
          </w:p>
          <w:p>
            <w:pPr>
              <w:spacing w:after="80" w:before="0"/>
              <w:jc w:val="left"/>
            </w:pPr>
            <w:r>
              <w:rPr>
                <w:rFonts w:ascii="Barlow" w:cs="Barlow" w:eastAsia="Barlow" w:hAnsi="Barlow"/>
                <w:b/>
                <w:bCs/>
                <w:i w:val="false"/>
                <w:iCs w:val="false"/>
                <w:caps w:val="false"/>
                <w:color w:val="111214"/>
                <w:sz w:val="22"/>
                <w:szCs w:val="22"/>
              </w:rPr>
              <w:t xml:space="preserve">[Organisation Name]</w:t>
            </w:r>
          </w:p>
        </w:tc>
        <w:tc>
          <w:tcPr>
            <w:tcW w:type="dxa" w:w="4786"/>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ENGAGEMENT TYPE</w:t>
            </w:r>
          </w:p>
          <w:p>
            <w:pPr>
              <w:spacing w:after="80" w:before="0"/>
              <w:jc w:val="left"/>
            </w:pPr>
            <w:r>
              <w:rPr>
                <w:rFonts w:ascii="Barlow" w:cs="Barlow" w:eastAsia="Barlow" w:hAnsi="Barlow"/>
                <w:b/>
                <w:bCs/>
                <w:i w:val="false"/>
                <w:iCs w:val="false"/>
                <w:caps w:val="false"/>
                <w:color w:val="111214"/>
                <w:sz w:val="22"/>
                <w:szCs w:val="22"/>
              </w:rPr>
              <w:t xml:space="preserve">[Health Scan / AD Audit / Remediation / vCISO / Tool Deployment]</w:t>
            </w:r>
          </w:p>
        </w:tc>
        <w:tc>
          <w:tcPr>
            <w:tcW w:type="dxa" w:w="2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DATE</w:t>
            </w:r>
          </w:p>
          <w:p>
            <w:pPr>
              <w:spacing w:after="80" w:before="0"/>
              <w:jc w:val="left"/>
            </w:pPr>
            <w:r>
              <w:rPr>
                <w:rFonts w:ascii="Barlow" w:cs="Barlow" w:eastAsia="Barlow" w:hAnsi="Barlow"/>
                <w:b/>
                <w:bCs/>
                <w:i w:val="false"/>
                <w:iCs w:val="false"/>
                <w:caps w:val="false"/>
                <w:color w:val="111214"/>
                <w:sz w:val="22"/>
                <w:szCs w:val="22"/>
              </w:rPr>
              <w:t xml:space="preserve">[DD MMM YYYY]</w:t>
            </w:r>
          </w:p>
        </w:tc>
      </w:tr>
      <w:tr>
        <w:tc>
          <w:tcPr>
            <w:tcW w:type="dxa" w:w="2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SECTOR</w:t>
            </w:r>
          </w:p>
          <w:p>
            <w:pPr>
              <w:spacing w:after="80" w:before="0"/>
              <w:jc w:val="left"/>
            </w:pPr>
            <w:r>
              <w:rPr>
                <w:rFonts w:ascii="Barlow" w:cs="Barlow" w:eastAsia="Barlow" w:hAnsi="Barlow"/>
                <w:b w:val="false"/>
                <w:bCs w:val="false"/>
                <w:i w:val="false"/>
                <w:iCs w:val="false"/>
                <w:caps w:val="false"/>
                <w:color w:val="111214"/>
                <w:sz w:val="20"/>
                <w:szCs w:val="20"/>
              </w:rPr>
              <w:t xml:space="preserve">[Sector]</w:t>
            </w:r>
          </w:p>
        </w:tc>
        <w:tc>
          <w:tcPr>
            <w:tcW w:type="dxa" w:w="4786"/>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ENGAGEMENT REF</w:t>
            </w:r>
          </w:p>
          <w:p>
            <w:pPr>
              <w:spacing w:after="80" w:before="0"/>
              <w:jc w:val="left"/>
            </w:pPr>
            <w:r>
              <w:rPr>
                <w:rFonts w:ascii="Barlow" w:cs="Barlow" w:eastAsia="Barlow" w:hAnsi="Barlow"/>
                <w:b w:val="false"/>
                <w:bCs w:val="false"/>
                <w:i w:val="false"/>
                <w:iCs w:val="false"/>
                <w:caps w:val="false"/>
                <w:color w:val="111214"/>
                <w:sz w:val="20"/>
                <w:szCs w:val="20"/>
              </w:rPr>
              <w:t xml:space="preserve">RETACH-[YYYY]-[NNN]</w:t>
            </w:r>
          </w:p>
        </w:tc>
        <w:tc>
          <w:tcPr>
            <w:tcW w:type="dxa" w:w="2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40" w:before="0"/>
              <w:jc w:val="left"/>
            </w:pPr>
            <w:r>
              <w:rPr>
                <w:rFonts w:ascii="Barlow Condensed" w:cs="Barlow Condensed" w:eastAsia="Barlow Condensed" w:hAnsi="Barlow Condensed"/>
                <w:b/>
                <w:bCs/>
                <w:i w:val="false"/>
                <w:iCs w:val="false"/>
                <w:caps/>
                <w:color w:val="6B7B69"/>
                <w:spacing w:val="40"/>
                <w:sz w:val="15"/>
                <w:szCs w:val="15"/>
              </w:rPr>
              <w:t xml:space="preserve">CONSULTANT</w:t>
            </w:r>
          </w:p>
          <w:p>
            <w:pPr>
              <w:spacing w:after="80" w:before="0"/>
              <w:jc w:val="left"/>
            </w:pPr>
            <w:r>
              <w:rPr>
                <w:rFonts w:ascii="Barlow" w:cs="Barlow" w:eastAsia="Barlow" w:hAnsi="Barlow"/>
                <w:b w:val="false"/>
                <w:bCs w:val="false"/>
                <w:i w:val="false"/>
                <w:iCs w:val="false"/>
                <w:caps w:val="false"/>
                <w:color w:val="111214"/>
                <w:sz w:val="20"/>
                <w:szCs w:val="20"/>
              </w:rPr>
              <w:t xml:space="preserve">Paul N. Nduati, CISSP, CASP+</w:t>
            </w:r>
          </w:p>
        </w:tc>
      </w:tr>
    </w:tbl>
    <w:p>
      <w:pPr>
        <w:spacing w:after="3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1.  Headline Risk Reduction</w:t>
      </w:r>
    </w:p>
    <w:p>
      <w:pPr>
        <w:spacing w:after="160" w:before="0"/>
        <w:jc w:val="left"/>
      </w:pPr>
      <w:r>
        <w:rPr>
          <w:rFonts w:ascii="Barlow" w:cs="Barlow" w:eastAsia="Barlow" w:hAnsi="Barlow"/>
          <w:b w:val="false"/>
          <w:bCs w:val="false"/>
          <w:i w:val="false"/>
          <w:iCs w:val="false"/>
          <w:caps w:val="false"/>
          <w:color w:val="6B7B69"/>
          <w:sz w:val="20"/>
          <w:szCs w:val="20"/>
        </w:rPr>
        <w:t xml:space="preserve">Measurable change in cyber risk exposure between engagement start and close. All figures produced by the RETACH CRQ Engine using the S.I.N.S. Framework™ actuarial model.</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200"/>
        <w:gridCol w:w="1960"/>
        <w:gridCol w:w="1960"/>
        <w:gridCol w:w="2266"/>
      </w:tblGrid>
      <w:tr>
        <w:trPr>
          <w:tblHeader/>
        </w:trPr>
        <w:tc>
          <w:tcPr>
            <w:tcW w:type="dxa" w:w="32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Metric</w:t>
            </w:r>
          </w:p>
        </w:tc>
        <w:tc>
          <w:tcPr>
            <w:tcW w:type="dxa" w:w="196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Before</w:t>
            </w:r>
          </w:p>
        </w:tc>
        <w:tc>
          <w:tcPr>
            <w:tcW w:type="dxa" w:w="196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After</w:t>
            </w:r>
          </w:p>
        </w:tc>
        <w:tc>
          <w:tcPr>
            <w:tcW w:type="dxa" w:w="2266"/>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Delta</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Expected Annual Loss (EAL)</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KES [X.XM]</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KES [X.XM]</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KES [X.XM]</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Worst-Case Loss (95th %ile)</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KES [X.XM]</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KES [X.XM]</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KES [X.XM]</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S.I.N.S. Score / 100</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[XX]</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[XX]</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[XX] pts</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Risk as % of Revenue</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[X.X]%</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[X.X]%</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[X.X]%</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Regulatory Fine Exposure</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KES [X.XM]</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KES [X.XM]</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KES [X.XM]</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left"/>
            </w:pPr>
            <w:r>
              <w:rPr>
                <w:rFonts w:ascii="Barlow" w:cs="Barlow" w:eastAsia="Barlow" w:hAnsi="Barlow"/>
                <w:b w:val="false"/>
                <w:bCs w:val="false"/>
                <w:i w:val="false"/>
                <w:iCs w:val="false"/>
                <w:caps w:val="false"/>
                <w:color w:val="111214"/>
                <w:sz w:val="20"/>
                <w:szCs w:val="20"/>
              </w:rPr>
              <w:t xml:space="preserve">Est. Recovery Time (RTO)</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C0392B"/>
                <w:sz w:val="20"/>
                <w:szCs w:val="20"/>
              </w:rPr>
              <w:t xml:space="preserve">[XX] days</w:t>
            </w:r>
          </w:p>
        </w:tc>
        <w:tc>
          <w:tcPr>
            <w:tcW w:type="dxa" w:w="1960"/>
            <w:tcBorders>
              <w:top w:val="single" w:color="D0D5CE" w:sz="4"/>
              <w:left w:val="single" w:color="D0D5CE" w:sz="4"/>
              <w:bottom w:val="single" w:color="D0D5CE" w:sz="4"/>
              <w:right w:val="single" w:color="D0D5CE" w:sz="4"/>
            </w:tcBorders>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[XX] days</w:t>
            </w:r>
          </w:p>
        </w:tc>
        <w:tc>
          <w:tcPr>
            <w:tcW w:type="dxa" w:w="224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vAlign w:val="center"/>
          </w:tcPr>
          <w:p>
            <w:pPr>
              <w:spacing w:after="80" w:before="0"/>
              <w:jc w:val="center"/>
            </w:pPr>
            <w:r>
              <w:rPr>
                <w:rFonts w:ascii="IBM Plex Mono" w:cs="IBM Plex Mono" w:eastAsia="IBM Plex Mono" w:hAnsi="IBM Plex Mono"/>
                <w:b/>
                <w:bCs/>
                <w:i w:val="false"/>
                <w:iCs w:val="false"/>
                <w:caps w:val="false"/>
                <w:color w:val="116b4f"/>
                <w:sz w:val="20"/>
                <w:szCs w:val="20"/>
              </w:rPr>
              <w:t xml:space="preserve">− [XX] days</w:t>
            </w:r>
          </w:p>
        </w:tc>
      </w:tr>
    </w:tbl>
    <w:p>
      <w:pPr>
        <w:spacing w:after="160"/>
      </w:pPr>
      <w:r>
        <w:t xml:space="preserve"/>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9386"/>
      </w:tblGrid>
      <w:tr>
        <w:tc>
          <w:tcPr>
            <w:tcW w:type="dxa" w:w="9386"/>
            <w:tcBorders>
              <w:top w:val="single" w:color="116b4f" w:sz="12"/>
              <w:left w:val="single" w:color="116b4f" w:sz="12"/>
              <w:bottom w:val="single" w:color="116b4f" w:sz="4"/>
              <w:right w:val="single" w:color="D0D5CE" w:sz="4"/>
            </w:tcBorders>
            <w:shd w:fill="E8F4EF" w:val="clear"/>
            <w:tcMar>
              <w:top w:type="dxa" w:w="160"/>
              <w:left w:type="dxa" w:w="200"/>
              <w:bottom w:type="dxa" w:w="160"/>
              <w:right w:type="dxa" w:w="200"/>
            </w:tcMar>
          </w:tcPr>
          <w:p>
            <w:pPr>
              <w:spacing w:after="80" w:before="0"/>
              <w:jc w:val="left"/>
            </w:pPr>
            <w:r>
              <w:rPr>
                <w:rFonts w:ascii="Barlow Condensed" w:cs="Barlow Condensed" w:eastAsia="Barlow Condensed" w:hAnsi="Barlow Condensed"/>
                <w:b/>
                <w:bCs/>
                <w:i w:val="false"/>
                <w:iCs w:val="false"/>
                <w:caps w:val="false"/>
                <w:color w:val="116b4f"/>
                <w:sz w:val="20"/>
                <w:szCs w:val="20"/>
              </w:rPr>
              <w:t xml:space="preserve">What this means in plain terms</w:t>
            </w:r>
          </w:p>
          <w:p>
            <w:pPr>
              <w:spacing w:after="80" w:before="0"/>
              <w:jc w:val="left"/>
            </w:pPr>
            <w:r>
              <w:rPr>
                <w:rFonts w:ascii="Barlow" w:cs="Barlow" w:eastAsia="Barlow" w:hAnsi="Barlow"/>
                <w:b w:val="false"/>
                <w:bCs w:val="false"/>
                <w:i w:val="false"/>
                <w:iCs w:val="false"/>
                <w:caps w:val="false"/>
                <w:color w:val="111214"/>
                <w:sz w:val="20"/>
                <w:szCs w:val="20"/>
              </w:rPr>
              <w:t xml:space="preserve">This engagement reduced [Organisation Name]'s modelled annual cyber loss exposure from KES [X.XM] to KES [X.XM] — a reduction of KES [X.XM] per year. The S.I.N.S. score improved from [XX] to [XX], moving the organisation from [status] to [status]. This reduction is the measurable financial return on the investment in this engagement.</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2.  S.I.N.S. Pillar Breakdown</w:t>
      </w:r>
    </w:p>
    <w:p>
      <w:pPr>
        <w:spacing w:after="160" w:before="0"/>
        <w:jc w:val="left"/>
      </w:pPr>
      <w:r>
        <w:rPr>
          <w:rFonts w:ascii="Barlow" w:cs="Barlow" w:eastAsia="Barlow" w:hAnsi="Barlow"/>
          <w:b w:val="false"/>
          <w:bCs w:val="false"/>
          <w:i w:val="false"/>
          <w:iCs w:val="false"/>
          <w:caps w:val="false"/>
          <w:color w:val="6B7B69"/>
          <w:sz w:val="20"/>
          <w:szCs w:val="20"/>
        </w:rPr>
        <w:t xml:space="preserve">Per-pillar score reflecting controls, findings, and remediation completed this engagement.</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60"/>
        <w:gridCol w:w="2640"/>
        <w:gridCol w:w="1400"/>
        <w:gridCol w:w="1400"/>
        <w:gridCol w:w="1400"/>
        <w:gridCol w:w="2186"/>
      </w:tblGrid>
      <w:tr>
        <w:trPr>
          <w:tblHeader/>
        </w:trPr>
        <w:tc>
          <w:tcPr>
            <w:tcW w:type="dxa" w:w="36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
            </w:r>
          </w:p>
        </w:tc>
        <w:tc>
          <w:tcPr>
            <w:tcW w:type="dxa" w:w="264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Pillar</w:t>
            </w:r>
          </w:p>
        </w:tc>
        <w:tc>
          <w:tcPr>
            <w:tcW w:type="dxa" w:w="14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Before</w:t>
            </w:r>
          </w:p>
        </w:tc>
        <w:tc>
          <w:tcPr>
            <w:tcW w:type="dxa" w:w="14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After</w:t>
            </w:r>
          </w:p>
        </w:tc>
        <w:tc>
          <w:tcPr>
            <w:tcW w:type="dxa" w:w="14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Delta</w:t>
            </w:r>
          </w:p>
        </w:tc>
        <w:tc>
          <w:tcPr>
            <w:tcW w:type="dxa" w:w="2186"/>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Key Control Implemented</w:t>
            </w:r>
          </w:p>
        </w:tc>
      </w:tr>
      <w:tr>
        <w:tc>
          <w:tcPr>
            <w:tcW w:type="dxa" w:w="360"/>
            <w:tcBorders>
              <w:top w:val="single" w:color="D0D5CE" w:sz="4"/>
              <w:left w:val="single" w:color="D0D5CE" w:sz="4"/>
              <w:bottom w:val="single" w:color="D0D5CE" w:sz="4"/>
              <w:right w:val="single" w:color="D0D5CE" w:sz="4"/>
            </w:tcBorders>
            <w:shd w:fill="116b4f" w:val="clear"/>
            <w:tcMar>
              <w:top w:type="dxa" w:w="100"/>
              <w:left w:type="dxa" w:w="60"/>
              <w:bottom w:type="dxa" w:w="100"/>
              <w:right w:type="dxa" w:w="60"/>
            </w:tcMar>
            <w:vAlign w:val="center"/>
          </w:tcPr>
          <w:p>
            <w:pPr>
              <w:spacing w:after="80" w:before="0"/>
              <w:jc w:val="center"/>
            </w:pPr>
            <w:r>
              <w:rPr>
                <w:rFonts w:ascii="IBM Plex Mono" w:cs="IBM Plex Mono" w:eastAsia="IBM Plex Mono" w:hAnsi="IBM Plex Mono"/>
                <w:b/>
                <w:bCs/>
                <w:i w:val="false"/>
                <w:iCs w:val="false"/>
                <w:caps w:val="false"/>
                <w:color w:val="FFFFFF"/>
                <w:sz w:val="17"/>
                <w:szCs w:val="17"/>
              </w:rPr>
              <w:t xml:space="preserve">S¹</w:t>
            </w:r>
          </w:p>
        </w:tc>
        <w:tc>
          <w:tcPr>
            <w:tcW w:type="dxa" w:w="264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Systems (Identity &amp; Access)</w:t>
            </w:r>
          </w:p>
        </w:tc>
        <w:tc>
          <w:tcPr>
            <w:tcW w:type="dxa" w:w="1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20"/>
                <w:szCs w:val="20"/>
              </w:rPr>
              <w:t xml:space="preserve">[XX]</w:t>
            </w:r>
          </w:p>
        </w:tc>
        <w:tc>
          <w:tcPr>
            <w:tcW w:type="dxa" w:w="1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140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2186"/>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MFA enforced, stale accounts removed]</w:t>
            </w:r>
          </w:p>
        </w:tc>
      </w:tr>
      <w:tr>
        <w:tc>
          <w:tcPr>
            <w:tcW w:type="dxa" w:w="360"/>
            <w:tcBorders>
              <w:top w:val="single" w:color="D0D5CE" w:sz="4"/>
              <w:left w:val="single" w:color="D0D5CE" w:sz="4"/>
              <w:bottom w:val="single" w:color="D0D5CE" w:sz="4"/>
              <w:right w:val="single" w:color="D0D5CE" w:sz="4"/>
            </w:tcBorders>
            <w:shd w:fill="116b4f" w:val="clear"/>
            <w:tcMar>
              <w:top w:type="dxa" w:w="100"/>
              <w:left w:type="dxa" w:w="60"/>
              <w:bottom w:type="dxa" w:w="100"/>
              <w:right w:type="dxa" w:w="60"/>
            </w:tcMar>
            <w:vAlign w:val="center"/>
          </w:tcPr>
          <w:p>
            <w:pPr>
              <w:spacing w:after="80" w:before="0"/>
              <w:jc w:val="center"/>
            </w:pPr>
            <w:r>
              <w:rPr>
                <w:rFonts w:ascii="IBM Plex Mono" w:cs="IBM Plex Mono" w:eastAsia="IBM Plex Mono" w:hAnsi="IBM Plex Mono"/>
                <w:b/>
                <w:bCs/>
                <w:i w:val="false"/>
                <w:iCs w:val="false"/>
                <w:caps w:val="false"/>
                <w:color w:val="FFFFFF"/>
                <w:sz w:val="17"/>
                <w:szCs w:val="17"/>
              </w:rPr>
              <w:t xml:space="preserve">S²</w:t>
            </w:r>
          </w:p>
        </w:tc>
        <w:tc>
          <w:tcPr>
            <w:tcW w:type="dxa" w:w="264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Infrastructure (Backup &amp; DR)</w:t>
            </w:r>
          </w:p>
        </w:tc>
        <w:tc>
          <w:tcPr>
            <w:tcW w:type="dxa" w:w="1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20"/>
                <w:szCs w:val="20"/>
              </w:rPr>
              <w:t xml:space="preserve">[XX]</w:t>
            </w:r>
          </w:p>
        </w:tc>
        <w:tc>
          <w:tcPr>
            <w:tcW w:type="dxa" w:w="1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140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2186"/>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Backup tested, DR procedure documented]</w:t>
            </w:r>
          </w:p>
        </w:tc>
      </w:tr>
      <w:tr>
        <w:tc>
          <w:tcPr>
            <w:tcW w:type="dxa" w:w="360"/>
            <w:tcBorders>
              <w:top w:val="single" w:color="D0D5CE" w:sz="4"/>
              <w:left w:val="single" w:color="D0D5CE" w:sz="4"/>
              <w:bottom w:val="single" w:color="D0D5CE" w:sz="4"/>
              <w:right w:val="single" w:color="D0D5CE" w:sz="4"/>
            </w:tcBorders>
            <w:shd w:fill="116b4f" w:val="clear"/>
            <w:tcMar>
              <w:top w:type="dxa" w:w="100"/>
              <w:left w:type="dxa" w:w="60"/>
              <w:bottom w:type="dxa" w:w="100"/>
              <w:right w:type="dxa" w:w="60"/>
            </w:tcMar>
            <w:vAlign w:val="center"/>
          </w:tcPr>
          <w:p>
            <w:pPr>
              <w:spacing w:after="80" w:before="0"/>
              <w:jc w:val="center"/>
            </w:pPr>
            <w:r>
              <w:rPr>
                <w:rFonts w:ascii="IBM Plex Mono" w:cs="IBM Plex Mono" w:eastAsia="IBM Plex Mono" w:hAnsi="IBM Plex Mono"/>
                <w:b/>
                <w:bCs/>
                <w:i w:val="false"/>
                <w:iCs w:val="false"/>
                <w:caps w:val="false"/>
                <w:color w:val="FFFFFF"/>
                <w:sz w:val="17"/>
                <w:szCs w:val="17"/>
              </w:rPr>
              <w:t xml:space="preserve">S³</w:t>
            </w:r>
          </w:p>
        </w:tc>
        <w:tc>
          <w:tcPr>
            <w:tcW w:type="dxa" w:w="264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Network (Perimeter &amp; Segmentation)</w:t>
            </w:r>
          </w:p>
        </w:tc>
        <w:tc>
          <w:tcPr>
            <w:tcW w:type="dxa" w:w="1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20"/>
                <w:szCs w:val="20"/>
              </w:rPr>
              <w:t xml:space="preserve">[XX]</w:t>
            </w:r>
          </w:p>
        </w:tc>
        <w:tc>
          <w:tcPr>
            <w:tcW w:type="dxa" w:w="1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140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2186"/>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VLAN segmentation, firewall cleanup]</w:t>
            </w:r>
          </w:p>
        </w:tc>
      </w:tr>
      <w:tr>
        <w:tc>
          <w:tcPr>
            <w:tcW w:type="dxa" w:w="360"/>
            <w:tcBorders>
              <w:top w:val="single" w:color="D0D5CE" w:sz="4"/>
              <w:left w:val="single" w:color="D0D5CE" w:sz="4"/>
              <w:bottom w:val="single" w:color="D0D5CE" w:sz="4"/>
              <w:right w:val="single" w:color="D0D5CE" w:sz="4"/>
            </w:tcBorders>
            <w:shd w:fill="116b4f" w:val="clear"/>
            <w:tcMar>
              <w:top w:type="dxa" w:w="100"/>
              <w:left w:type="dxa" w:w="60"/>
              <w:bottom w:type="dxa" w:w="100"/>
              <w:right w:type="dxa" w:w="60"/>
            </w:tcMar>
            <w:vAlign w:val="center"/>
          </w:tcPr>
          <w:p>
            <w:pPr>
              <w:spacing w:after="80" w:before="0"/>
              <w:jc w:val="center"/>
            </w:pPr>
            <w:r>
              <w:rPr>
                <w:rFonts w:ascii="IBM Plex Mono" w:cs="IBM Plex Mono" w:eastAsia="IBM Plex Mono" w:hAnsi="IBM Plex Mono"/>
                <w:b/>
                <w:bCs/>
                <w:i w:val="false"/>
                <w:iCs w:val="false"/>
                <w:caps w:val="false"/>
                <w:color w:val="FFFFFF"/>
                <w:sz w:val="17"/>
                <w:szCs w:val="17"/>
              </w:rPr>
              <w:t xml:space="preserve">S⁴</w:t>
            </w:r>
          </w:p>
        </w:tc>
        <w:tc>
          <w:tcPr>
            <w:tcW w:type="dxa" w:w="264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Security (Governance &amp; Policy)</w:t>
            </w:r>
          </w:p>
        </w:tc>
        <w:tc>
          <w:tcPr>
            <w:tcW w:type="dxa" w:w="1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20"/>
                <w:szCs w:val="20"/>
              </w:rPr>
              <w:t xml:space="preserve">[XX]</w:t>
            </w:r>
          </w:p>
        </w:tc>
        <w:tc>
          <w:tcPr>
            <w:tcW w:type="dxa" w:w="1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1400"/>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+[XX]</w:t>
            </w:r>
          </w:p>
        </w:tc>
        <w:tc>
          <w:tcPr>
            <w:tcW w:type="dxa" w:w="2186"/>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ODPC registered, IS Policy signed off]</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3.  Controls Implemented This Engagement</w:t>
      </w:r>
    </w:p>
    <w:p>
      <w:pPr>
        <w:spacing w:after="160" w:before="0"/>
        <w:jc w:val="left"/>
      </w:pPr>
      <w:r>
        <w:rPr>
          <w:rFonts w:ascii="Barlow" w:cs="Barlow" w:eastAsia="Barlow" w:hAnsi="Barlow"/>
          <w:b w:val="false"/>
          <w:bCs w:val="false"/>
          <w:i w:val="false"/>
          <w:iCs w:val="false"/>
          <w:caps w:val="false"/>
          <w:color w:val="6B7B69"/>
          <w:sz w:val="20"/>
          <w:szCs w:val="20"/>
        </w:rPr>
        <w:t xml:space="preserve">Each control is mapped to its S.I.N.S. pillar and modelled EAL reduction contribution.</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200"/>
        <w:gridCol w:w="1100"/>
        <w:gridCol w:w="1200"/>
        <w:gridCol w:w="1686"/>
        <w:gridCol w:w="2200"/>
      </w:tblGrid>
      <w:tr>
        <w:trPr>
          <w:tblHeader/>
        </w:trPr>
        <w:tc>
          <w:tcPr>
            <w:tcW w:type="dxa" w:w="32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Control</w:t>
            </w:r>
          </w:p>
        </w:tc>
        <w:tc>
          <w:tcPr>
            <w:tcW w:type="dxa" w:w="11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S.I.N.S. Ref</w:t>
            </w:r>
          </w:p>
        </w:tc>
        <w:tc>
          <w:tcPr>
            <w:tcW w:type="dxa" w:w="12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Effort</w:t>
            </w:r>
          </w:p>
        </w:tc>
        <w:tc>
          <w:tcPr>
            <w:tcW w:type="dxa" w:w="1686"/>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EAL Reduction</w:t>
            </w:r>
          </w:p>
        </w:tc>
        <w:tc>
          <w:tcPr>
            <w:tcW w:type="dxa" w:w="22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Notes / Scope</w:t>
            </w:r>
          </w:p>
        </w:tc>
      </w:tr>
      <w:tr>
        <w:tc>
          <w:tcPr>
            <w:tcW w:type="dxa" w:w="3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MFA enforced — all admin accounts]</w:t>
            </w:r>
          </w:p>
        </w:tc>
        <w:tc>
          <w:tcPr>
            <w:tcW w:type="dxa" w:w="11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S¹</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Low</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−28% EAL</w:t>
            </w:r>
          </w:p>
        </w:tc>
        <w:tc>
          <w:tcPr>
            <w:tcW w:type="dxa" w:w="2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[Tool / scope]</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Backup procedure tested &amp; documented]</w:t>
            </w:r>
          </w:p>
        </w:tc>
        <w:tc>
          <w:tcPr>
            <w:tcW w:type="dxa" w:w="11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S²</w:t>
            </w:r>
          </w:p>
        </w:tc>
        <w:tc>
          <w:tcPr>
            <w:tcW w:type="dxa" w:w="1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Low</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−32% EAL</w:t>
            </w:r>
          </w:p>
        </w:tc>
        <w:tc>
          <w:tcPr>
            <w:tcW w:type="dxa" w:w="2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[Frequency, retention]</w:t>
            </w:r>
          </w:p>
        </w:tc>
      </w:tr>
      <w:tr>
        <w:tc>
          <w:tcPr>
            <w:tcW w:type="dxa" w:w="3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DMARC enforcement (p=reject)]</w:t>
            </w:r>
          </w:p>
        </w:tc>
        <w:tc>
          <w:tcPr>
            <w:tcW w:type="dxa" w:w="11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S³</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Low</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−18% EAL</w:t>
            </w:r>
          </w:p>
        </w:tc>
        <w:tc>
          <w:tcPr>
            <w:tcW w:type="dxa" w:w="2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[DNS change applied]</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ODPC registration completed]</w:t>
            </w:r>
          </w:p>
        </w:tc>
        <w:tc>
          <w:tcPr>
            <w:tcW w:type="dxa" w:w="11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S⁴</w:t>
            </w:r>
          </w:p>
        </w:tc>
        <w:tc>
          <w:tcPr>
            <w:tcW w:type="dxa" w:w="1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Low</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−12% fine exposure</w:t>
            </w:r>
          </w:p>
        </w:tc>
        <w:tc>
          <w:tcPr>
            <w:tcW w:type="dxa" w:w="2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[Registration ref]</w:t>
            </w:r>
          </w:p>
        </w:tc>
      </w:tr>
      <w:tr>
        <w:tc>
          <w:tcPr>
            <w:tcW w:type="dxa" w:w="3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ESET endpoint deployment]</w:t>
            </w:r>
          </w:p>
        </w:tc>
        <w:tc>
          <w:tcPr>
            <w:tcW w:type="dxa" w:w="11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S²</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Medium</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−16% EAL</w:t>
            </w:r>
          </w:p>
        </w:tc>
        <w:tc>
          <w:tcPr>
            <w:tcW w:type="dxa" w:w="2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[Seats / coverage]</w:t>
            </w:r>
          </w:p>
        </w:tc>
      </w:tr>
      <w:tr>
        <w:tc>
          <w:tcPr>
            <w:tcW w:type="dxa" w:w="3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AD privileged account cleanup]</w:t>
            </w:r>
          </w:p>
        </w:tc>
        <w:tc>
          <w:tcPr>
            <w:tcW w:type="dxa" w:w="11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S¹</w:t>
            </w:r>
          </w:p>
        </w:tc>
        <w:tc>
          <w:tcPr>
            <w:tcW w:type="dxa" w:w="1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Barlow" w:cs="Barlow" w:eastAsia="Barlow" w:hAnsi="Barlow"/>
                <w:b w:val="false"/>
                <w:bCs w:val="false"/>
                <w:i w:val="false"/>
                <w:iCs w:val="false"/>
                <w:caps w:val="false"/>
                <w:color w:val="4b4f58"/>
                <w:sz w:val="18"/>
                <w:szCs w:val="18"/>
              </w:rPr>
              <w:t xml:space="preserve">Medium</w:t>
            </w:r>
          </w:p>
        </w:tc>
        <w:tc>
          <w:tcPr>
            <w:tcW w:type="dxa" w:w="1686"/>
            <w:tcBorders>
              <w:top w:val="single" w:color="D0D5CE" w:sz="4"/>
              <w:left w:val="single" w:color="D0D5CE" w:sz="4"/>
              <w:bottom w:val="single" w:color="D0D5CE" w:sz="4"/>
              <w:right w:val="single" w:color="D0D5CE" w:sz="4"/>
            </w:tcBorders>
            <w:shd w:fill="E8F4EF"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116b4f"/>
                <w:sz w:val="20"/>
                <w:szCs w:val="20"/>
              </w:rPr>
              <w:t xml:space="preserve">−15% EAL</w:t>
            </w:r>
          </w:p>
        </w:tc>
        <w:tc>
          <w:tcPr>
            <w:tcW w:type="dxa" w:w="2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[Accounts reviewed]</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4.  Open Items &amp; Next Engagement</w:t>
      </w:r>
    </w:p>
    <w:p>
      <w:pPr>
        <w:spacing w:after="160" w:before="0"/>
        <w:jc w:val="left"/>
      </w:pPr>
      <w:r>
        <w:rPr>
          <w:rFonts w:ascii="Barlow" w:cs="Barlow" w:eastAsia="Barlow" w:hAnsi="Barlow"/>
          <w:b w:val="false"/>
          <w:bCs w:val="false"/>
          <w:i w:val="false"/>
          <w:iCs w:val="false"/>
          <w:caps w:val="false"/>
          <w:color w:val="6B7B69"/>
          <w:sz w:val="20"/>
          <w:szCs w:val="20"/>
        </w:rPr>
        <w:t xml:space="preserve">Gaps identified but outside scope of this engagement. These represent residual risk and the recommended next phase of work.</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400"/>
        <w:gridCol w:w="1200"/>
        <w:gridCol w:w="1386"/>
        <w:gridCol w:w="3400"/>
      </w:tblGrid>
      <w:tr>
        <w:trPr>
          <w:tblHeader/>
        </w:trPr>
        <w:tc>
          <w:tcPr>
            <w:tcW w:type="dxa" w:w="34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Open Item</w:t>
            </w:r>
          </w:p>
        </w:tc>
        <w:tc>
          <w:tcPr>
            <w:tcW w:type="dxa" w:w="12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Pillar</w:t>
            </w:r>
          </w:p>
        </w:tc>
        <w:tc>
          <w:tcPr>
            <w:tcW w:type="dxa" w:w="1386"/>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Priority</w:t>
            </w:r>
          </w:p>
        </w:tc>
        <w:tc>
          <w:tcPr>
            <w:tcW w:type="dxa" w:w="3400"/>
            <w:tcBorders>
              <w:top w:val="single" w:color="116b4f" w:sz="4"/>
              <w:left w:val="single" w:color="116b4f" w:sz="4"/>
              <w:bottom w:val="single" w:color="116b4f" w:sz="4"/>
              <w:right w:val="single" w:color="116b4f" w:sz="4"/>
            </w:tcBorders>
            <w:shd w:fill="116b4f" w:val="clear"/>
            <w:tcMar>
              <w:top w:type="dxa" w:w="100"/>
              <w:left w:type="dxa" w:w="140"/>
              <w:bottom w:type="dxa" w:w="100"/>
              <w:right w:type="dxa" w:w="140"/>
            </w:tcMar>
          </w:tcPr>
          <w:p>
            <w:pPr>
              <w:spacing w:after="80" w:before="0"/>
              <w:jc w:val="left"/>
            </w:pPr>
            <w:r>
              <w:rPr>
                <w:rFonts w:ascii="Barlow Condensed" w:cs="Barlow Condensed" w:eastAsia="Barlow Condensed" w:hAnsi="Barlow Condensed"/>
                <w:b/>
                <w:bCs/>
                <w:i w:val="false"/>
                <w:iCs w:val="false"/>
                <w:caps/>
                <w:color w:val="FFFFFF"/>
                <w:spacing w:val="20"/>
                <w:sz w:val="18"/>
                <w:szCs w:val="18"/>
              </w:rPr>
              <w:t xml:space="preserve">Recommended Next Engagement</w:t>
            </w:r>
          </w:p>
        </w:tc>
      </w:tr>
      <w:tr>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Network segmentation not implemented]</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S³</w:t>
            </w:r>
          </w:p>
        </w:tc>
        <w:tc>
          <w:tcPr>
            <w:tcW w:type="dxa" w:w="1386"/>
            <w:tcBorders>
              <w:top w:val="single" w:color="D0D5CE" w:sz="4"/>
              <w:left w:val="single" w:color="D0D5CE" w:sz="4"/>
              <w:bottom w:val="single" w:color="D0D5CE" w:sz="4"/>
              <w:right w:val="single" w:color="D0D5CE" w:sz="4"/>
            </w:tcBorders>
            <w:shd w:fill="FBE9E9"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18"/>
                <w:szCs w:val="18"/>
              </w:rPr>
              <w:t xml:space="preserve">High</w:t>
            </w:r>
          </w:p>
        </w:tc>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RETACH Network Hardening engagement]</w:t>
            </w:r>
          </w:p>
        </w:tc>
      </w:tr>
      <w:tr>
        <w:tc>
          <w:tcPr>
            <w:tcW w:type="dxa" w:w="3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Staff phishing simulation not run]</w:t>
            </w:r>
          </w:p>
        </w:tc>
        <w:tc>
          <w:tcPr>
            <w:tcW w:type="dxa" w:w="1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S¹</w:t>
            </w:r>
          </w:p>
        </w:tc>
        <w:tc>
          <w:tcPr>
            <w:tcW w:type="dxa" w:w="1386"/>
            <w:tcBorders>
              <w:top w:val="single" w:color="D0D5CE" w:sz="4"/>
              <w:left w:val="single" w:color="D0D5CE" w:sz="4"/>
              <w:bottom w:val="single" w:color="D0D5CE" w:sz="4"/>
              <w:right w:val="single" w:color="D0D5CE" w:sz="4"/>
            </w:tcBorders>
            <w:shd w:fill="FEF6EC"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B5670A"/>
                <w:sz w:val="18"/>
                <w:szCs w:val="18"/>
              </w:rPr>
              <w:t xml:space="preserve">Medium</w:t>
            </w:r>
          </w:p>
        </w:tc>
        <w:tc>
          <w:tcPr>
            <w:tcW w:type="dxa" w:w="3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RETACH Academy awareness programme]</w:t>
            </w:r>
          </w:p>
        </w:tc>
      </w:tr>
      <w:tr>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No observability / monitoring tooling]</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S²</w:t>
            </w:r>
          </w:p>
        </w:tc>
        <w:tc>
          <w:tcPr>
            <w:tcW w:type="dxa" w:w="1386"/>
            <w:tcBorders>
              <w:top w:val="single" w:color="D0D5CE" w:sz="4"/>
              <w:left w:val="single" w:color="D0D5CE" w:sz="4"/>
              <w:bottom w:val="single" w:color="D0D5CE" w:sz="4"/>
              <w:right w:val="single" w:color="D0D5CE" w:sz="4"/>
            </w:tcBorders>
            <w:shd w:fill="FEF6EC"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B5670A"/>
                <w:sz w:val="18"/>
                <w:szCs w:val="18"/>
              </w:rPr>
              <w:t xml:space="preserve">Medium</w:t>
            </w:r>
          </w:p>
        </w:tc>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Prometheus+Grafana+Zabbix deployment]</w:t>
            </w:r>
          </w:p>
        </w:tc>
      </w:tr>
      <w:tr>
        <w:tc>
          <w:tcPr>
            <w:tcW w:type="dxa" w:w="3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PAM solution not deployed]</w:t>
            </w:r>
          </w:p>
        </w:tc>
        <w:tc>
          <w:tcPr>
            <w:tcW w:type="dxa" w:w="12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S¹</w:t>
            </w:r>
          </w:p>
        </w:tc>
        <w:tc>
          <w:tcPr>
            <w:tcW w:type="dxa" w:w="1386"/>
            <w:tcBorders>
              <w:top w:val="single" w:color="D0D5CE" w:sz="4"/>
              <w:left w:val="single" w:color="D0D5CE" w:sz="4"/>
              <w:bottom w:val="single" w:color="D0D5CE" w:sz="4"/>
              <w:right w:val="single" w:color="D0D5CE" w:sz="4"/>
            </w:tcBorders>
            <w:shd w:fill="FBE9E9"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C0392B"/>
                <w:sz w:val="18"/>
                <w:szCs w:val="18"/>
              </w:rPr>
              <w:t xml:space="preserve">High</w:t>
            </w:r>
          </w:p>
        </w:tc>
        <w:tc>
          <w:tcPr>
            <w:tcW w:type="dxa" w:w="3400"/>
            <w:tcBorders>
              <w:top w:val="single" w:color="D0D5CE" w:sz="4"/>
              <w:left w:val="single" w:color="D0D5CE" w:sz="4"/>
              <w:bottom w:val="single" w:color="D0D5CE" w:sz="4"/>
              <w:right w:val="single" w:color="D0D5CE" w:sz="4"/>
            </w:tcBorders>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Segura PAM deployment engagement]</w:t>
            </w:r>
          </w:p>
        </w:tc>
      </w:tr>
      <w:tr>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val="false"/>
                <w:iCs w:val="false"/>
                <w:caps w:val="false"/>
                <w:color w:val="111214"/>
                <w:sz w:val="20"/>
                <w:szCs w:val="20"/>
              </w:rPr>
              <w:t xml:space="preserve">[e.g. Annual penetration test not scheduled]</w:t>
            </w:r>
          </w:p>
        </w:tc>
        <w:tc>
          <w:tcPr>
            <w:tcW w:type="dxa" w:w="12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center"/>
            </w:pPr>
            <w:r>
              <w:rPr>
                <w:rFonts w:ascii="IBM Plex Mono" w:cs="IBM Plex Mono" w:eastAsia="IBM Plex Mono" w:hAnsi="IBM Plex Mono"/>
                <w:b/>
                <w:bCs/>
                <w:i w:val="false"/>
                <w:iCs w:val="false"/>
                <w:caps w:val="false"/>
                <w:color w:val="116b4f"/>
                <w:sz w:val="18"/>
                <w:szCs w:val="18"/>
              </w:rPr>
              <w:t xml:space="preserve">S⁴</w:t>
            </w:r>
          </w:p>
        </w:tc>
        <w:tc>
          <w:tcPr>
            <w:tcW w:type="dxa" w:w="1386"/>
            <w:tcBorders>
              <w:top w:val="single" w:color="D0D5CE" w:sz="4"/>
              <w:left w:val="single" w:color="D0D5CE" w:sz="4"/>
              <w:bottom w:val="single" w:color="D0D5CE" w:sz="4"/>
              <w:right w:val="single" w:color="D0D5CE" w:sz="4"/>
            </w:tcBorders>
            <w:shd w:fill="FEF6EC" w:val="clear"/>
            <w:tcMar>
              <w:top w:type="dxa" w:w="100"/>
              <w:left w:type="dxa" w:w="140"/>
              <w:bottom w:type="dxa" w:w="100"/>
              <w:right w:type="dxa" w:w="140"/>
            </w:tcMar>
          </w:tcPr>
          <w:p>
            <w:pPr>
              <w:spacing w:after="80" w:before="0"/>
              <w:jc w:val="center"/>
            </w:pPr>
            <w:r>
              <w:rPr>
                <w:rFonts w:ascii="Barlow" w:cs="Barlow" w:eastAsia="Barlow" w:hAnsi="Barlow"/>
                <w:b/>
                <w:bCs/>
                <w:i w:val="false"/>
                <w:iCs w:val="false"/>
                <w:caps w:val="false"/>
                <w:color w:val="B5670A"/>
                <w:sz w:val="18"/>
                <w:szCs w:val="18"/>
              </w:rPr>
              <w:t xml:space="preserve">Medium</w:t>
            </w:r>
          </w:p>
        </w:tc>
        <w:tc>
          <w:tcPr>
            <w:tcW w:type="dxa" w:w="3400"/>
            <w:tcBorders>
              <w:top w:val="single" w:color="D0D5CE" w:sz="4"/>
              <w:left w:val="single" w:color="D0D5CE" w:sz="4"/>
              <w:bottom w:val="single" w:color="D0D5CE" w:sz="4"/>
              <w:right w:val="single" w:color="D0D5CE" w:sz="4"/>
            </w:tcBorders>
            <w:shd w:fill="F5F6F4" w:val="clear"/>
            <w:tcMar>
              <w:top w:type="dxa" w:w="100"/>
              <w:left w:type="dxa" w:w="140"/>
              <w:bottom w:type="dxa" w:w="100"/>
              <w:right w:type="dxa" w:w="140"/>
            </w:tcMar>
          </w:tcPr>
          <w:p>
            <w:pPr>
              <w:spacing w:after="80" w:before="0"/>
              <w:jc w:val="left"/>
            </w:pPr>
            <w:r>
              <w:rPr>
                <w:rFonts w:ascii="Barlow" w:cs="Barlow" w:eastAsia="Barlow" w:hAnsi="Barlow"/>
                <w:b w:val="false"/>
                <w:bCs w:val="false"/>
                <w:i/>
                <w:iCs/>
                <w:caps w:val="false"/>
                <w:color w:val="6B7B69"/>
                <w:sz w:val="18"/>
                <w:szCs w:val="18"/>
              </w:rPr>
              <w:t xml:space="preserve">[e.g. RETACH Pentest engagement]</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5.  Return on Investment</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128"/>
        <w:gridCol w:w="3130"/>
        <w:gridCol w:w="3128"/>
      </w:tblGrid>
      <w:tr>
        <w:tc>
          <w:tcPr>
            <w:tcW w:type="dxa" w:w="3128"/>
            <w:tcBorders>
              <w:top w:val="single" w:color="116b4f" w:sz="12"/>
              <w:left w:val="single" w:color="116b4f" w:sz="12"/>
              <w:bottom w:val="single" w:color="116b4f" w:sz="12"/>
              <w:right w:val="single" w:color="116b4f" w:sz="12"/>
            </w:tcBorders>
            <w:shd w:fill="F5F6F4" w:val="clear"/>
            <w:tcMar>
              <w:top w:type="dxa" w:w="200"/>
              <w:left w:type="dxa" w:w="200"/>
              <w:bottom w:type="dxa" w:w="200"/>
              <w:right w:type="dxa" w:w="200"/>
            </w:tcMar>
          </w:tcPr>
          <w:p>
            <w:pPr>
              <w:spacing w:after="60" w:before="0"/>
              <w:jc w:val="left"/>
            </w:pPr>
            <w:r>
              <w:rPr>
                <w:rFonts w:ascii="Barlow Condensed" w:cs="Barlow Condensed" w:eastAsia="Barlow Condensed" w:hAnsi="Barlow Condensed"/>
                <w:b/>
                <w:bCs/>
                <w:i w:val="false"/>
                <w:iCs w:val="false"/>
                <w:caps/>
                <w:color w:val="6B7B69"/>
                <w:spacing w:val="40"/>
                <w:sz w:val="15"/>
                <w:szCs w:val="15"/>
              </w:rPr>
              <w:t xml:space="preserve">ENGAGEMENT INVESTMENT</w:t>
            </w:r>
          </w:p>
          <w:p>
            <w:pPr>
              <w:spacing w:after="80" w:before="0"/>
              <w:jc w:val="left"/>
            </w:pPr>
            <w:r>
              <w:rPr>
                <w:rFonts w:ascii="Barlow Condensed" w:cs="Barlow Condensed" w:eastAsia="Barlow Condensed" w:hAnsi="Barlow Condensed"/>
                <w:b/>
                <w:bCs/>
                <w:i w:val="false"/>
                <w:iCs w:val="false"/>
                <w:caps w:val="false"/>
                <w:color w:val="111214"/>
                <w:sz w:val="36"/>
                <w:szCs w:val="36"/>
              </w:rPr>
              <w:t xml:space="preserve">KES [XX,XXX]</w:t>
            </w:r>
          </w:p>
        </w:tc>
        <w:tc>
          <w:tcPr>
            <w:tcW w:type="dxa" w:w="3130"/>
            <w:tcBorders>
              <w:top w:val="single" w:color="116b4f" w:sz="12"/>
              <w:left w:val="single" w:color="116b4f" w:sz="12"/>
              <w:bottom w:val="single" w:color="116b4f" w:sz="12"/>
              <w:right w:val="single" w:color="116b4f" w:sz="12"/>
            </w:tcBorders>
            <w:shd w:fill="E8F4EF" w:val="clear"/>
            <w:tcMar>
              <w:top w:type="dxa" w:w="200"/>
              <w:left w:type="dxa" w:w="200"/>
              <w:bottom w:type="dxa" w:w="200"/>
              <w:right w:type="dxa" w:w="200"/>
            </w:tcMar>
          </w:tcPr>
          <w:p>
            <w:pPr>
              <w:spacing w:after="60" w:before="0"/>
              <w:jc w:val="left"/>
            </w:pPr>
            <w:r>
              <w:rPr>
                <w:rFonts w:ascii="Barlow Condensed" w:cs="Barlow Condensed" w:eastAsia="Barlow Condensed" w:hAnsi="Barlow Condensed"/>
                <w:b/>
                <w:bCs/>
                <w:i w:val="false"/>
                <w:iCs w:val="false"/>
                <w:caps/>
                <w:color w:val="116b4f"/>
                <w:spacing w:val="40"/>
                <w:sz w:val="15"/>
                <w:szCs w:val="15"/>
              </w:rPr>
              <w:t xml:space="preserve">ANNUAL RISK REDUCTION</w:t>
            </w:r>
          </w:p>
          <w:p>
            <w:pPr>
              <w:spacing w:after="80" w:before="0"/>
              <w:jc w:val="left"/>
            </w:pPr>
            <w:r>
              <w:rPr>
                <w:rFonts w:ascii="Barlow Condensed" w:cs="Barlow Condensed" w:eastAsia="Barlow Condensed" w:hAnsi="Barlow Condensed"/>
                <w:b/>
                <w:bCs/>
                <w:i w:val="false"/>
                <w:iCs w:val="false"/>
                <w:caps w:val="false"/>
                <w:color w:val="116b4f"/>
                <w:sz w:val="36"/>
                <w:szCs w:val="36"/>
              </w:rPr>
              <w:t xml:space="preserve">KES [XX,XXX] / year</w:t>
            </w:r>
          </w:p>
        </w:tc>
        <w:tc>
          <w:tcPr>
            <w:tcW w:type="dxa" w:w="3128"/>
            <w:tcBorders>
              <w:top w:val="single" w:color="116b4f" w:sz="12"/>
              <w:left w:val="single" w:color="116b4f" w:sz="12"/>
              <w:bottom w:val="single" w:color="116b4f" w:sz="12"/>
              <w:right w:val="single" w:color="116b4f" w:sz="12"/>
            </w:tcBorders>
            <w:shd w:fill="E8F4EF" w:val="clear"/>
            <w:tcMar>
              <w:top w:type="dxa" w:w="200"/>
              <w:left w:type="dxa" w:w="200"/>
              <w:bottom w:type="dxa" w:w="200"/>
              <w:right w:type="dxa" w:w="200"/>
            </w:tcMar>
          </w:tcPr>
          <w:p>
            <w:pPr>
              <w:spacing w:after="60" w:before="0"/>
              <w:jc w:val="left"/>
            </w:pPr>
            <w:r>
              <w:rPr>
                <w:rFonts w:ascii="Barlow Condensed" w:cs="Barlow Condensed" w:eastAsia="Barlow Condensed" w:hAnsi="Barlow Condensed"/>
                <w:b/>
                <w:bCs/>
                <w:i w:val="false"/>
                <w:iCs w:val="false"/>
                <w:caps/>
                <w:color w:val="116b4f"/>
                <w:spacing w:val="40"/>
                <w:sz w:val="15"/>
                <w:szCs w:val="15"/>
              </w:rPr>
              <w:t xml:space="preserve">SIMPLE ROI (YEAR 1)</w:t>
            </w:r>
          </w:p>
          <w:p>
            <w:pPr>
              <w:spacing w:after="40" w:before="0"/>
              <w:jc w:val="left"/>
            </w:pPr>
            <w:r>
              <w:rPr>
                <w:rFonts w:ascii="Barlow Condensed" w:cs="Barlow Condensed" w:eastAsia="Barlow Condensed" w:hAnsi="Barlow Condensed"/>
                <w:b/>
                <w:bCs/>
                <w:i w:val="false"/>
                <w:iCs w:val="false"/>
                <w:caps w:val="false"/>
                <w:color w:val="116b4f"/>
                <w:sz w:val="28"/>
                <w:szCs w:val="28"/>
              </w:rPr>
              <w:t xml:space="preserve">[XXX]%  ·  payback [X.X] months</w:t>
            </w:r>
          </w:p>
          <w:p>
            <w:pPr>
              <w:spacing w:after="80" w:before="0"/>
              <w:jc w:val="left"/>
            </w:pPr>
            <w:r>
              <w:rPr>
                <w:rFonts w:ascii="Barlow" w:cs="Barlow" w:eastAsia="Barlow" w:hAnsi="Barlow"/>
                <w:b w:val="false"/>
                <w:bCs w:val="false"/>
                <w:i/>
                <w:iCs/>
                <w:caps w:val="false"/>
                <w:color w:val="6B7B69"/>
                <w:sz w:val="15"/>
                <w:szCs w:val="15"/>
              </w:rPr>
              <w:t xml:space="preserve">ROI = (Risk Reduction − Engagement Cost) ÷ Engagement Cost. Risk reduction is modelled EAL delta, not a guarantee.</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6.  CRQ Model Snapshots</w:t>
      </w:r>
    </w:p>
    <w:p>
      <w:pPr>
        <w:spacing w:after="160" w:before="0"/>
        <w:jc w:val="left"/>
      </w:pPr>
      <w:r>
        <w:rPr>
          <w:rFonts w:ascii="Barlow" w:cs="Barlow" w:eastAsia="Barlow" w:hAnsi="Barlow"/>
          <w:b w:val="false"/>
          <w:bCs w:val="false"/>
          <w:i w:val="false"/>
          <w:iCs w:val="false"/>
          <w:caps w:val="false"/>
          <w:color w:val="6B7B69"/>
          <w:sz w:val="20"/>
          <w:szCs w:val="20"/>
        </w:rPr>
        <w:t xml:space="preserve">Raw CRQ Engine inputs and outputs at engagement start and close. Basis for all delta calculations. Methodology: retach.tech/#methodology</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4693"/>
        <w:gridCol w:w="4693"/>
      </w:tblGrid>
      <w:tr>
        <w:tc>
          <w:tcPr>
            <w:tcW w:type="dxa" w:w="4693"/>
            <w:tcBorders>
              <w:top w:val="single" w:color="C0392B" w:sz="4"/>
              <w:left w:val="single" w:color="C0392B" w:sz="4"/>
              <w:bottom w:val="single" w:color="C0392B" w:sz="4"/>
              <w:right w:val="single" w:color="C0392B" w:sz="4"/>
            </w:tcBorders>
            <w:shd w:fill="FBE9E9" w:val="clear"/>
            <w:tcMar>
              <w:top w:type="dxa" w:w="140"/>
              <w:left w:type="dxa" w:w="180"/>
              <w:bottom w:type="dxa" w:w="140"/>
              <w:right w:type="dxa" w:w="180"/>
            </w:tcMar>
          </w:tcPr>
          <w:p>
            <w:pPr>
              <w:spacing w:after="80" w:before="0"/>
              <w:jc w:val="left"/>
            </w:pPr>
            <w:r>
              <w:rPr>
                <w:rFonts w:ascii="Barlow Condensed" w:cs="Barlow Condensed" w:eastAsia="Barlow Condensed" w:hAnsi="Barlow Condensed"/>
                <w:b/>
                <w:bCs/>
                <w:i w:val="false"/>
                <w:iCs w:val="false"/>
                <w:caps/>
                <w:color w:val="C0392B"/>
                <w:spacing w:val="40"/>
                <w:sz w:val="18"/>
                <w:szCs w:val="18"/>
              </w:rPr>
              <w:t xml:space="preserve">BEFORE — Engagement Start</w:t>
            </w:r>
          </w:p>
          <w:p>
            <w:pPr>
              <w:spacing w:after="40" w:before="0"/>
              <w:jc w:val="left"/>
            </w:pPr>
            <w:r>
              <w:rPr>
                <w:rFonts w:ascii="Barlow" w:cs="Barlow" w:eastAsia="Barlow" w:hAnsi="Barlow"/>
                <w:b w:val="false"/>
                <w:bCs w:val="false"/>
                <w:i w:val="false"/>
                <w:iCs w:val="false"/>
                <w:caps w:val="false"/>
                <w:color w:val="4b4f58"/>
                <w:sz w:val="18"/>
                <w:szCs w:val="18"/>
              </w:rPr>
              <w:t xml:space="preserve">Sector: [Sector]  ·  Revenue: KES [X]M  ·  Staff: [X]</w:t>
            </w:r>
          </w:p>
          <w:p>
            <w:pPr>
              <w:spacing w:after="40" w:before="0"/>
              <w:jc w:val="left"/>
            </w:pPr>
            <w:r>
              <w:rPr>
                <w:rFonts w:ascii="Barlow" w:cs="Barlow" w:eastAsia="Barlow" w:hAnsi="Barlow"/>
                <w:b w:val="false"/>
                <w:bCs w:val="false"/>
                <w:i w:val="false"/>
                <w:iCs w:val="false"/>
                <w:caps w:val="false"/>
                <w:color w:val="4b4f58"/>
                <w:sz w:val="18"/>
                <w:szCs w:val="18"/>
              </w:rPr>
              <w:t xml:space="preserve">MFA: [None/Partial/Full]  ·  Backup tested: [Yes/No]  ·  ODPC: [Yes/No]</w:t>
            </w:r>
          </w:p>
          <w:p>
            <w:pPr>
              <w:spacing w:after="80" w:before="0"/>
              <w:jc w:val="left"/>
            </w:pPr>
            <w:r>
              <w:rPr>
                <w:rFonts w:ascii="Barlow" w:cs="Barlow" w:eastAsia="Barlow" w:hAnsi="Barlow"/>
                <w:b w:val="false"/>
                <w:bCs w:val="false"/>
                <w:i w:val="false"/>
                <w:iCs w:val="false"/>
                <w:caps w:val="false"/>
                <w:color w:val="4b4f58"/>
                <w:sz w:val="18"/>
                <w:szCs w:val="18"/>
              </w:rPr>
              <w:t xml:space="preserve">S¹:[XX]  S²:[XX]  S³:[XX]  S⁴:[XX]  →  S.I.N.S. Score: [XX]</w:t>
            </w:r>
          </w:p>
          <w:p>
            <w:pPr>
              <w:spacing w:after="40" w:before="0"/>
              <w:jc w:val="left"/>
            </w:pPr>
            <w:r>
              <w:rPr>
                <w:rFonts w:ascii="Barlow Condensed" w:cs="Barlow Condensed" w:eastAsia="Barlow Condensed" w:hAnsi="Barlow Condensed"/>
                <w:b/>
                <w:bCs/>
                <w:i w:val="false"/>
                <w:iCs w:val="false"/>
                <w:caps w:val="false"/>
                <w:color w:val="C0392B"/>
                <w:sz w:val="24"/>
                <w:szCs w:val="24"/>
              </w:rPr>
              <w:t xml:space="preserve">EAL: KES [X.XM]</w:t>
            </w:r>
          </w:p>
          <w:p>
            <w:pPr>
              <w:spacing w:after="40" w:before="0"/>
              <w:jc w:val="left"/>
            </w:pPr>
            <w:r>
              <w:rPr>
                <w:rFonts w:ascii="Barlow" w:cs="Barlow" w:eastAsia="Barlow" w:hAnsi="Barlow"/>
                <w:b w:val="false"/>
                <w:bCs w:val="false"/>
                <w:i w:val="false"/>
                <w:iCs w:val="false"/>
                <w:caps w:val="false"/>
                <w:color w:val="C0392B"/>
                <w:sz w:val="18"/>
                <w:szCs w:val="18"/>
              </w:rPr>
              <w:t xml:space="preserve">75th %ile: KES [X.XM]  ·  95th %ile: KES [X.XM]</w:t>
            </w:r>
          </w:p>
          <w:p>
            <w:pPr>
              <w:spacing w:after="80" w:before="0"/>
              <w:jc w:val="left"/>
            </w:pPr>
            <w:r>
              <w:rPr>
                <w:rFonts w:ascii="Barlow" w:cs="Barlow" w:eastAsia="Barlow" w:hAnsi="Barlow"/>
                <w:b w:val="false"/>
                <w:bCs w:val="false"/>
                <w:i w:val="false"/>
                <w:iCs w:val="false"/>
                <w:caps w:val="false"/>
                <w:color w:val="B5670A"/>
                <w:sz w:val="18"/>
                <w:szCs w:val="18"/>
              </w:rPr>
              <w:t xml:space="preserve">Regulatory exposure: KES [X.XM]</w:t>
            </w:r>
          </w:p>
        </w:tc>
        <w:tc>
          <w:tcPr>
            <w:tcW w:type="dxa" w:w="4693"/>
            <w:tcBorders>
              <w:top w:val="single" w:color="116b4f" w:sz="4"/>
              <w:left w:val="single" w:color="116b4f" w:sz="4"/>
              <w:bottom w:val="single" w:color="116b4f" w:sz="4"/>
              <w:right w:val="single" w:color="116b4f" w:sz="4"/>
            </w:tcBorders>
            <w:shd w:fill="E8F4EF" w:val="clear"/>
            <w:tcMar>
              <w:top w:type="dxa" w:w="140"/>
              <w:left w:type="dxa" w:w="180"/>
              <w:bottom w:type="dxa" w:w="140"/>
              <w:right w:type="dxa" w:w="180"/>
            </w:tcMar>
          </w:tcPr>
          <w:p>
            <w:pPr>
              <w:spacing w:after="80" w:before="0"/>
              <w:jc w:val="left"/>
            </w:pPr>
            <w:r>
              <w:rPr>
                <w:rFonts w:ascii="Barlow Condensed" w:cs="Barlow Condensed" w:eastAsia="Barlow Condensed" w:hAnsi="Barlow Condensed"/>
                <w:b/>
                <w:bCs/>
                <w:i w:val="false"/>
                <w:iCs w:val="false"/>
                <w:caps/>
                <w:color w:val="116b4f"/>
                <w:spacing w:val="40"/>
                <w:sz w:val="18"/>
                <w:szCs w:val="18"/>
              </w:rPr>
              <w:t xml:space="preserve">AFTER — Engagement Close</w:t>
            </w:r>
          </w:p>
          <w:p>
            <w:pPr>
              <w:spacing w:after="40" w:before="0"/>
              <w:jc w:val="left"/>
            </w:pPr>
            <w:r>
              <w:rPr>
                <w:rFonts w:ascii="Barlow" w:cs="Barlow" w:eastAsia="Barlow" w:hAnsi="Barlow"/>
                <w:b w:val="false"/>
                <w:bCs w:val="false"/>
                <w:i w:val="false"/>
                <w:iCs w:val="false"/>
                <w:caps w:val="false"/>
                <w:color w:val="4b4f58"/>
                <w:sz w:val="18"/>
                <w:szCs w:val="18"/>
              </w:rPr>
              <w:t xml:space="preserve">Sector: [Sector]  ·  Revenue: KES [X]M  ·  Staff: [X]</w:t>
            </w:r>
          </w:p>
          <w:p>
            <w:pPr>
              <w:spacing w:after="40" w:before="0"/>
              <w:jc w:val="left"/>
            </w:pPr>
            <w:r>
              <w:rPr>
                <w:rFonts w:ascii="Barlow" w:cs="Barlow" w:eastAsia="Barlow" w:hAnsi="Barlow"/>
                <w:b w:val="false"/>
                <w:bCs w:val="false"/>
                <w:i w:val="false"/>
                <w:iCs w:val="false"/>
                <w:caps w:val="false"/>
                <w:color w:val="4b4f58"/>
                <w:sz w:val="18"/>
                <w:szCs w:val="18"/>
              </w:rPr>
              <w:t xml:space="preserve">MFA: [None/Partial/Full]  ·  Backup tested: [Yes/No]  ·  ODPC: [Yes/No]</w:t>
            </w:r>
          </w:p>
          <w:p>
            <w:pPr>
              <w:spacing w:after="80" w:before="0"/>
              <w:jc w:val="left"/>
            </w:pPr>
            <w:r>
              <w:rPr>
                <w:rFonts w:ascii="Barlow" w:cs="Barlow" w:eastAsia="Barlow" w:hAnsi="Barlow"/>
                <w:b w:val="false"/>
                <w:bCs w:val="false"/>
                <w:i w:val="false"/>
                <w:iCs w:val="false"/>
                <w:caps w:val="false"/>
                <w:color w:val="4b4f58"/>
                <w:sz w:val="18"/>
                <w:szCs w:val="18"/>
              </w:rPr>
              <w:t xml:space="preserve">S¹:[XX]  S²:[XX]  S³:[XX]  S⁴:[XX]  →  S.I.N.S. Score: [XX]</w:t>
            </w:r>
          </w:p>
          <w:p>
            <w:pPr>
              <w:spacing w:after="40" w:before="0"/>
              <w:jc w:val="left"/>
            </w:pPr>
            <w:r>
              <w:rPr>
                <w:rFonts w:ascii="Barlow Condensed" w:cs="Barlow Condensed" w:eastAsia="Barlow Condensed" w:hAnsi="Barlow Condensed"/>
                <w:b/>
                <w:bCs/>
                <w:i w:val="false"/>
                <w:iCs w:val="false"/>
                <w:caps w:val="false"/>
                <w:color w:val="116b4f"/>
                <w:sz w:val="24"/>
                <w:szCs w:val="24"/>
              </w:rPr>
              <w:t xml:space="preserve">EAL: KES [X.XM]</w:t>
            </w:r>
          </w:p>
          <w:p>
            <w:pPr>
              <w:spacing w:after="40" w:before="0"/>
              <w:jc w:val="left"/>
            </w:pPr>
            <w:r>
              <w:rPr>
                <w:rFonts w:ascii="Barlow" w:cs="Barlow" w:eastAsia="Barlow" w:hAnsi="Barlow"/>
                <w:b w:val="false"/>
                <w:bCs w:val="false"/>
                <w:i w:val="false"/>
                <w:iCs w:val="false"/>
                <w:caps w:val="false"/>
                <w:color w:val="116b4f"/>
                <w:sz w:val="18"/>
                <w:szCs w:val="18"/>
              </w:rPr>
              <w:t xml:space="preserve">75th %ile: KES [X.XM]  ·  95th %ile: KES [X.XM]</w:t>
            </w:r>
          </w:p>
          <w:p>
            <w:pPr>
              <w:spacing w:after="80" w:before="0"/>
              <w:jc w:val="left"/>
            </w:pPr>
            <w:r>
              <w:rPr>
                <w:rFonts w:ascii="Barlow" w:cs="Barlow" w:eastAsia="Barlow" w:hAnsi="Barlow"/>
                <w:b w:val="false"/>
                <w:bCs w:val="false"/>
                <w:i w:val="false"/>
                <w:iCs w:val="false"/>
                <w:caps w:val="false"/>
                <w:color w:val="B5670A"/>
                <w:sz w:val="18"/>
                <w:szCs w:val="18"/>
              </w:rPr>
              <w:t xml:space="preserve">Regulatory exposure: KES [X.XM]</w:t>
            </w:r>
          </w:p>
        </w:tc>
      </w:tr>
    </w:tbl>
    <w:p>
      <w:pPr>
        <w:spacing w:after="200"/>
      </w:pPr>
      <w:r>
        <w:t xml:space="preserve"/>
      </w:r>
    </w:p>
    <w:p>
      <w:pPr>
        <w:pStyle w:val="Heading1"/>
        <w:pBdr>
          <w:top w:val="none" w:color="FFFFFF" w:sz="0"/>
          <w:bottom w:val="single" w:color="116b4f" w:sz="8"/>
          <w:left w:val="none" w:color="FFFFFF" w:sz="0"/>
          <w:right w:val="none" w:color="FFFFFF" w:sz="0"/>
        </w:pBdr>
        <w:spacing w:after="120" w:before="280"/>
      </w:pPr>
      <w:r>
        <w:rPr>
          <w:rFonts w:ascii="Barlow Condensed" w:cs="Barlow Condensed" w:eastAsia="Barlow Condensed" w:hAnsi="Barlow Condensed"/>
          <w:b/>
          <w:bCs/>
          <w:i w:val="false"/>
          <w:iCs w:val="false"/>
          <w:caps w:val="false"/>
          <w:color w:val="111214"/>
          <w:sz w:val="28"/>
          <w:szCs w:val="28"/>
        </w:rPr>
        <w:t xml:space="preserve">7.  Disclaimer &amp; Sign-Off</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9386"/>
      </w:tblGrid>
      <w:tr>
        <w:tc>
          <w:tcPr>
            <w:tcW w:type="dxa" w:w="9386"/>
            <w:tcBorders>
              <w:top w:val="single" w:color="B5670A" w:sz="4"/>
              <w:left w:val="single" w:color="B5670A" w:sz="12"/>
              <w:bottom w:val="single" w:color="B5670A" w:sz="4"/>
              <w:right w:val="single" w:color="D0D5CE" w:sz="4"/>
            </w:tcBorders>
            <w:shd w:fill="FEF6EC" w:val="clear"/>
            <w:tcMar>
              <w:top w:type="dxa" w:w="140"/>
              <w:left w:type="dxa" w:w="200"/>
              <w:bottom w:type="dxa" w:w="140"/>
              <w:right w:type="dxa" w:w="200"/>
            </w:tcMar>
          </w:tcPr>
          <w:p>
            <w:pPr>
              <w:spacing w:after="80" w:before="0"/>
              <w:jc w:val="left"/>
            </w:pPr>
            <w:r>
              <w:rPr>
                <w:rFonts w:ascii="Barlow Condensed" w:cs="Barlow Condensed" w:eastAsia="Barlow Condensed" w:hAnsi="Barlow Condensed"/>
                <w:b/>
                <w:bCs/>
                <w:i w:val="false"/>
                <w:iCs w:val="false"/>
                <w:caps w:val="false"/>
                <w:color w:val="B5670A"/>
                <w:sz w:val="20"/>
                <w:szCs w:val="20"/>
              </w:rPr>
              <w:t xml:space="preserve">Disclaimer</w:t>
            </w:r>
          </w:p>
          <w:p>
            <w:pPr>
              <w:spacing w:after="80" w:before="0"/>
              <w:jc w:val="left"/>
            </w:pPr>
            <w:r>
              <w:rPr>
                <w:rFonts w:ascii="Barlow" w:cs="Barlow" w:eastAsia="Barlow" w:hAnsi="Barlow"/>
                <w:b w:val="false"/>
                <w:bCs w:val="false"/>
                <w:i w:val="false"/>
                <w:iCs w:val="false"/>
                <w:caps w:val="false"/>
                <w:color w:val="664400"/>
                <w:sz w:val="18"/>
                <w:szCs w:val="18"/>
              </w:rPr>
              <w:t xml:space="preserve">This Risk Delta Report is produced using the RETACH CRQ Engine, which applies a Poisson-Lognormal actuarial model calibrated to East Africa sector incident data (Serianu 2023, CBK, CA Kenya). All EAL figures are financial planning estimates, not guarantees of loss or loss prevention. The before/after delta represents the modelled change in risk exposure based on controls implemented — actual loss outcomes depend on threat actor behaviour, implementation quality, and factors outside this model. This report does not constitute actuarial certification, legal opinion, or insurance advice. RETACH Digital Ltd is not a licensed insurer or broker. Methodology available at retach.tech/#methodology</w:t>
            </w:r>
          </w:p>
        </w:tc>
      </w:tr>
    </w:tbl>
    <w:p>
      <w:pPr>
        <w:spacing w:after="200"/>
      </w:pPr>
      <w:r>
        <w:t xml:space="preserve"/>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4693"/>
        <w:gridCol w:w="4693"/>
      </w:tblGrid>
      <w:tr>
        <w:tc>
          <w:tcPr>
            <w:tcW w:type="dxa" w:w="4693"/>
            <w:tcBorders>
              <w:top w:val="none" w:color="FFFFFF" w:sz="0"/>
              <w:left w:val="none" w:color="FFFFFF" w:sz="0"/>
              <w:bottom w:val="none" w:color="FFFFFF" w:sz="0"/>
              <w:right w:val="none" w:color="FFFFFF" w:sz="0"/>
            </w:tcBorders>
            <w:tcMar>
              <w:top w:type="dxa" w:w="80"/>
              <w:left w:type="dxa" w:w="0"/>
              <w:bottom w:type="dxa" w:w="240"/>
              <w:right w:type="dxa" w:w="200"/>
            </w:tcMar>
          </w:tcPr>
          <w:p>
            <w:pPr>
              <w:spacing w:after="200" w:before="0"/>
              <w:jc w:val="left"/>
            </w:pPr>
            <w:r>
              <w:rPr>
                <w:rFonts w:ascii="Barlow Condensed" w:cs="Barlow Condensed" w:eastAsia="Barlow Condensed" w:hAnsi="Barlow Condensed"/>
                <w:b/>
                <w:bCs/>
                <w:i w:val="false"/>
                <w:iCs w:val="false"/>
                <w:caps/>
                <w:color w:val="6B7B69"/>
                <w:spacing w:val="40"/>
                <w:sz w:val="16"/>
                <w:szCs w:val="16"/>
              </w:rPr>
              <w:t xml:space="preserve">Prepared by</w:t>
            </w:r>
          </w:p>
          <w:p>
            <w:pPr>
              <w:pBdr>
                <w:top w:val="none" w:color="FFFFFF" w:sz="0"/>
                <w:bottom w:val="single" w:color="D0D5CE" w:sz="6"/>
                <w:left w:val="none" w:color="FFFFFF" w:sz="0"/>
                <w:right w:val="none" w:color="FFFFFF" w:sz="0"/>
              </w:pBdr>
              <w:spacing w:after="80"/>
            </w:pPr>
            <w:r>
              <w:t xml:space="preserve"/>
            </w:r>
          </w:p>
          <w:p>
            <w:pPr>
              <w:spacing w:after="40" w:before="0"/>
              <w:jc w:val="left"/>
            </w:pPr>
            <w:r>
              <w:rPr>
                <w:rFonts w:ascii="Barlow" w:cs="Barlow" w:eastAsia="Barlow" w:hAnsi="Barlow"/>
                <w:b/>
                <w:bCs/>
                <w:i w:val="false"/>
                <w:iCs w:val="false"/>
                <w:caps w:val="false"/>
                <w:color w:val="111214"/>
                <w:sz w:val="22"/>
                <w:szCs w:val="22"/>
              </w:rPr>
              <w:t xml:space="preserve">Paul N. Nduati, CISSP, CASP+</w:t>
            </w:r>
          </w:p>
          <w:p>
            <w:pPr>
              <w:spacing w:after="80" w:before="0"/>
              <w:jc w:val="left"/>
            </w:pPr>
            <w:r>
              <w:rPr>
                <w:rFonts w:ascii="Barlow" w:cs="Barlow" w:eastAsia="Barlow" w:hAnsi="Barlow"/>
                <w:b w:val="false"/>
                <w:bCs w:val="false"/>
                <w:i w:val="false"/>
                <w:iCs w:val="false"/>
                <w:caps w:val="false"/>
                <w:color w:val="6B7B69"/>
                <w:sz w:val="18"/>
                <w:szCs w:val="18"/>
              </w:rPr>
              <w:t xml:space="preserve">Principal Consultant, RETACH Digital Ltd</w:t>
            </w:r>
          </w:p>
        </w:tc>
        <w:tc>
          <w:tcPr>
            <w:tcW w:type="dxa" w:w="4693"/>
            <w:tcBorders>
              <w:top w:val="none" w:color="FFFFFF" w:sz="0"/>
              <w:left w:val="none" w:color="FFFFFF" w:sz="0"/>
              <w:bottom w:val="none" w:color="FFFFFF" w:sz="0"/>
              <w:right w:val="none" w:color="FFFFFF" w:sz="0"/>
            </w:tcBorders>
            <w:tcMar>
              <w:top w:type="dxa" w:w="80"/>
              <w:left w:type="dxa" w:w="200"/>
              <w:bottom w:type="dxa" w:w="240"/>
              <w:right w:type="dxa" w:w="0"/>
            </w:tcMar>
          </w:tcPr>
          <w:p>
            <w:pPr>
              <w:spacing w:after="200" w:before="0"/>
              <w:jc w:val="left"/>
            </w:pPr>
            <w:r>
              <w:rPr>
                <w:rFonts w:ascii="Barlow Condensed" w:cs="Barlow Condensed" w:eastAsia="Barlow Condensed" w:hAnsi="Barlow Condensed"/>
                <w:b/>
                <w:bCs/>
                <w:i w:val="false"/>
                <w:iCs w:val="false"/>
                <w:caps/>
                <w:color w:val="6B7B69"/>
                <w:spacing w:val="40"/>
                <w:sz w:val="16"/>
                <w:szCs w:val="16"/>
              </w:rPr>
              <w:t xml:space="preserve">Acknowledged by client</w:t>
            </w:r>
          </w:p>
          <w:p>
            <w:pPr>
              <w:pBdr>
                <w:top w:val="none" w:color="FFFFFF" w:sz="0"/>
                <w:bottom w:val="single" w:color="D0D5CE" w:sz="6"/>
                <w:left w:val="none" w:color="FFFFFF" w:sz="0"/>
                <w:right w:val="none" w:color="FFFFFF" w:sz="0"/>
              </w:pBdr>
              <w:spacing w:after="80"/>
            </w:pPr>
            <w:r>
              <w:t xml:space="preserve"/>
            </w:r>
          </w:p>
          <w:p>
            <w:pPr>
              <w:spacing w:after="40" w:before="0"/>
              <w:jc w:val="left"/>
            </w:pPr>
            <w:r>
              <w:rPr>
                <w:rFonts w:ascii="Barlow" w:cs="Barlow" w:eastAsia="Barlow" w:hAnsi="Barlow"/>
                <w:b/>
                <w:bCs/>
                <w:i w:val="false"/>
                <w:iCs w:val="false"/>
                <w:caps w:val="false"/>
                <w:color w:val="111214"/>
                <w:sz w:val="22"/>
                <w:szCs w:val="22"/>
              </w:rPr>
              <w:t xml:space="preserve">[Name &amp; Title]</w:t>
            </w:r>
          </w:p>
          <w:p>
            <w:pPr>
              <w:spacing w:after="80" w:before="0"/>
              <w:jc w:val="left"/>
            </w:pPr>
            <w:r>
              <w:rPr>
                <w:rFonts w:ascii="Barlow" w:cs="Barlow" w:eastAsia="Barlow" w:hAnsi="Barlow"/>
                <w:b w:val="false"/>
                <w:bCs w:val="false"/>
                <w:i w:val="false"/>
                <w:iCs w:val="false"/>
                <w:caps w:val="false"/>
                <w:color w:val="6B7B69"/>
                <w:sz w:val="18"/>
                <w:szCs w:val="18"/>
              </w:rPr>
              <w:t xml:space="preserve">[Organisation Name]  ·  [Date]</w:t>
            </w:r>
          </w:p>
        </w:tc>
      </w:tr>
    </w:tbl>
    <w:sectPr>
      <w:headerReference w:type="default" r:id="rId7"/>
      <w:footerReference w:type="default" r:id="rId8"/>
      <w:pgSz w:w="11906" w:h="16838" w:orient="portrait"/>
      <w:pgMar w:top="108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5CE" w:sz="4"/>
        <w:bottom w:val="none" w:color="FFFFFF" w:sz="0"/>
        <w:left w:val="none" w:color="FFFFFF" w:sz="0"/>
        <w:right w:val="none" w:color="FFFFFF" w:sz="0"/>
      </w:pBdr>
      <w:spacing w:after="60" w:before="80"/>
      <w:jc w:val="center"/>
    </w:pPr>
    <w:r>
      <w:rPr>
        <w:rFonts w:ascii="Barlow Condensed" w:cs="Barlow Condensed" w:eastAsia="Barlow Condensed" w:hAnsi="Barlow Condensed"/>
        <w:b/>
        <w:bCs/>
        <w:i w:val="false"/>
        <w:iCs w:val="false"/>
        <w:caps/>
        <w:color w:val="6B7B69"/>
        <w:spacing w:val="20"/>
        <w:sz w:val="16"/>
        <w:szCs w:val="16"/>
      </w:rPr>
      <w:t xml:space="preserve">THE S.I.N.S. FRAMEWORK™  ·  Systems. Infrastructure. Network. Security.</w:t>
    </w:r>
  </w:p>
  <w:p>
    <w:pPr>
      <w:spacing w:after="0"/>
      <w:jc w:val="center"/>
    </w:pPr>
    <w:r>
      <w:rPr>
        <w:rFonts w:ascii="Barlow" w:cs="Barlow" w:eastAsia="Barlow" w:hAnsi="Barlow"/>
        <w:b w:val="false"/>
        <w:bCs w:val="false"/>
        <w:i w:val="false"/>
        <w:iCs w:val="false"/>
        <w:caps w:val="false"/>
        <w:color w:val="6B7B69"/>
        <w:sz w:val="14"/>
        <w:szCs w:val="14"/>
      </w:rPr>
      <w:t xml:space="preserve">retach.tech  ·  info@retach.tech  ·  CONFIDENTIAL</w:t>
    </w:r>
  </w:p>
  <w:p>
    <w:pPr>
      <w:pBdr>
        <w:top w:val="none" w:color="FFFFFF" w:sz="0"/>
        <w:bottom w:val="single" w:color="116b4f" w:sz="40"/>
        <w:left w:val="none" w:color="FFFFFF" w:sz="0"/>
        <w:right w:val="none" w:color="FFFFFF" w:sz="0"/>
      </w:pBdr>
      <w:spacing w:after="0" w:before="60"/>
    </w:pPr>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4000"/>
      <w:gridCol w:w="5386"/>
    </w:tblGrid>
    <w:tr>
      <w:tc>
        <w:tcPr>
          <w:tcW w:type="dxa" w:w="40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drawing>
              <wp:inline distT="0" distB="0" distL="0" distR="0">
                <wp:extent cx="1524000" cy="1276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0" cy="1276350"/>
                        </a:xfrm>
                        <a:prstGeom prst="rect">
                          <a:avLst/>
                        </a:prstGeom>
                      </pic:spPr>
                    </pic:pic>
                  </a:graphicData>
                </a:graphic>
              </wp:inline>
            </w:drawing>
          </w:r>
        </w:p>
      </w:tc>
      <w:tc>
        <w:tcPr>
          <w:tcW w:type="dxa" w:w="5386"/>
          <w:tcBorders>
            <w:top w:val="none" w:color="FFFFFF" w:sz="0"/>
            <w:left w:val="none" w:color="FFFFFF" w:sz="0"/>
            <w:bottom w:val="none" w:color="FFFFFF" w:sz="0"/>
            <w:right w:val="none" w:color="FFFFFF" w:sz="0"/>
          </w:tcBorders>
          <w:tcMar>
            <w:top w:type="dxa" w:w="0"/>
            <w:left w:type="dxa" w:w="0"/>
            <w:bottom w:type="dxa" w:w="0"/>
            <w:right w:type="dxa" w:w="0"/>
          </w:tcMar>
          <w:vAlign w:val="bottom"/>
        </w:tcPr>
        <w:p>
          <w:pPr>
            <w:spacing w:after="40" w:before="0"/>
            <w:jc w:val="right"/>
          </w:pPr>
          <w:r>
            <w:rPr>
              <w:rFonts w:ascii="IBM Plex Mono" w:cs="IBM Plex Mono" w:eastAsia="IBM Plex Mono" w:hAnsi="IBM Plex Mono"/>
              <w:b w:val="false"/>
              <w:bCs w:val="false"/>
              <w:i w:val="false"/>
              <w:iCs w:val="false"/>
              <w:caps w:val="false"/>
              <w:color w:val="6B7B69"/>
              <w:sz w:val="18"/>
              <w:szCs w:val="18"/>
            </w:rPr>
            <w:t xml:space="preserve">www.retach.tech</w:t>
          </w:r>
        </w:p>
        <w:p>
          <w:pPr>
            <w:spacing w:after="80" w:before="0"/>
            <w:jc w:val="right"/>
          </w:pPr>
          <w:r>
            <w:rPr>
              <w:rFonts w:ascii="IBM Plex Mono" w:cs="IBM Plex Mono" w:eastAsia="IBM Plex Mono" w:hAnsi="IBM Plex Mono"/>
              <w:b w:val="false"/>
              <w:bCs w:val="false"/>
              <w:i w:val="false"/>
              <w:iCs w:val="false"/>
              <w:caps w:val="false"/>
              <w:color w:val="6B7B69"/>
              <w:sz w:val="18"/>
              <w:szCs w:val="18"/>
            </w:rPr>
            <w:t xml:space="preserve">info@retach.tech</w:t>
          </w:r>
        </w:p>
      </w:tc>
    </w:tr>
  </w:tbl>
  <w:p>
    <w:pPr>
      <w:pBdr>
        <w:top w:val="none" w:color="FFFFFF" w:sz="0"/>
        <w:bottom w:val="single" w:color="116b4f" w:sz="12"/>
        <w:left w:val="none" w:color="FFFFFF" w:sz="0"/>
        <w:right w:val="none" w:color="FFFFFF" w:sz="0"/>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rlow" w:cs="Barlow" w:eastAsia="Barlow" w:hAnsi="Barlow"/>
        <w:color w:val="11121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Barlow Condensed" w:cs="Barlow Condensed" w:eastAsia="Barlow Condensed" w:hAnsi="Barlow Condensed"/>
      <w:b/>
      <w:bCs/>
      <w:color w:val="111214"/>
      <w:sz w:val="28"/>
      <w:szCs w:val="28"/>
    </w:rPr>
  </w:style>
  <w:style w:type="paragraph" w:styleId="Heading2">
    <w:name w:val="Heading 2"/>
    <w:basedOn w:val="Normal"/>
    <w:next w:val="Normal"/>
    <w:qFormat/>
    <w:rPr>
      <w:rFonts w:ascii="Barlow Condensed" w:cs="Barlow Condensed" w:eastAsia="Barlow Condensed" w:hAnsi="Barlow Condensed"/>
      <w:b/>
      <w:bCs/>
      <w:color w:val="116b4f"/>
      <w:sz w:val="22"/>
      <w:szCs w:val="22"/>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Barlow Condensed" w:cs="Barlow Condensed" w:eastAsia="Barlow Condensed" w:hAnsi="Barlow Condensed"/>
      <w:b/>
      <w:bCs/>
      <w:color w:val="111214"/>
      <w:sz w:val="28"/>
      <w:szCs w:val="28"/>
    </w:rPr>
  </w:style>
  <w:style w:type="paragraph" w:styleId="Heading2">
    <w:name w:val="Heading 2"/>
    <w:basedOn w:val="Normal"/>
    <w:next w:val="Normal"/>
    <w:qFormat/>
    <w:pPr>
      <w:spacing w:after="80" w:before="200"/>
      <w:outlineLvl w:val="1"/>
    </w:pPr>
    <w:rPr>
      <w:rFonts w:ascii="Barlow Condensed" w:cs="Barlow Condensed" w:eastAsia="Barlow Condensed" w:hAnsi="Barlow Condensed"/>
      <w:b/>
      <w:bCs/>
      <w:color w:val="116b4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316de32f7436aa7b420d6f866513ee03eaaa03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2026-05-27T09:14:46.688Z</dcterms:created>
  <dcterms:modified xsi:type="dcterms:W3CDTF">2026-05-27T09:14:46.689Z</dcterms:modified>
</cp:coreProperties>
</file>

<file path=docProps/custom.xml><?xml version="1.0" encoding="utf-8"?>
<Properties xmlns="http://schemas.openxmlformats.org/officeDocument/2006/custom-properties" xmlns:vt="http://schemas.openxmlformats.org/officeDocument/2006/docPropsVTypes"/>
</file>